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8F" w:rsidRPr="00C939B8" w:rsidRDefault="001D4D2D" w:rsidP="007108C6">
      <w:pPr>
        <w:jc w:val="center"/>
        <w:rPr>
          <w:b/>
          <w:color w:val="5F497A" w:themeColor="accent4" w:themeShade="BF"/>
          <w:sz w:val="28"/>
          <w:szCs w:val="28"/>
        </w:rPr>
      </w:pPr>
      <w:r w:rsidRPr="00C939B8">
        <w:rPr>
          <w:b/>
          <w:color w:val="5F497A" w:themeColor="accent4" w:themeShade="BF"/>
          <w:sz w:val="28"/>
          <w:szCs w:val="28"/>
        </w:rPr>
        <w:t>C</w:t>
      </w:r>
      <w:r w:rsidR="00C939B8" w:rsidRPr="00C939B8">
        <w:rPr>
          <w:b/>
          <w:color w:val="5F497A" w:themeColor="accent4" w:themeShade="BF"/>
          <w:sz w:val="28"/>
          <w:szCs w:val="28"/>
        </w:rPr>
        <w:t xml:space="preserve">ommunicable Disease Emergency </w:t>
      </w:r>
      <w:r w:rsidRPr="00C939B8">
        <w:rPr>
          <w:b/>
          <w:color w:val="5F497A" w:themeColor="accent4" w:themeShade="BF"/>
          <w:sz w:val="28"/>
          <w:szCs w:val="28"/>
        </w:rPr>
        <w:t>Plan Checklist</w:t>
      </w:r>
    </w:p>
    <w:p w:rsidR="001D4D2D" w:rsidRPr="00C939B8" w:rsidRDefault="001D4D2D">
      <w:pPr>
        <w:rPr>
          <w:color w:val="5F497A" w:themeColor="accent4" w:themeShade="BF"/>
          <w:sz w:val="28"/>
          <w:szCs w:val="28"/>
        </w:rPr>
      </w:pPr>
      <w:r w:rsidRPr="00C939B8">
        <w:rPr>
          <w:color w:val="5F497A" w:themeColor="accent4" w:themeShade="BF"/>
          <w:sz w:val="28"/>
          <w:szCs w:val="28"/>
        </w:rPr>
        <w:t xml:space="preserve">This document will assist you in determining if your communicable disease emergency plan is up to date, and </w:t>
      </w:r>
      <w:r w:rsidR="00EB0274" w:rsidRPr="00C939B8">
        <w:rPr>
          <w:color w:val="5F497A" w:themeColor="accent4" w:themeShade="BF"/>
          <w:sz w:val="28"/>
          <w:szCs w:val="28"/>
        </w:rPr>
        <w:t xml:space="preserve">will help </w:t>
      </w:r>
      <w:r w:rsidRPr="00C939B8">
        <w:rPr>
          <w:color w:val="5F497A" w:themeColor="accent4" w:themeShade="BF"/>
          <w:sz w:val="28"/>
          <w:szCs w:val="28"/>
        </w:rPr>
        <w:t xml:space="preserve">identify </w:t>
      </w:r>
      <w:r w:rsidR="00EB0274" w:rsidRPr="00C939B8">
        <w:rPr>
          <w:color w:val="5F497A" w:themeColor="accent4" w:themeShade="BF"/>
          <w:sz w:val="28"/>
          <w:szCs w:val="28"/>
        </w:rPr>
        <w:t xml:space="preserve">strengths and </w:t>
      </w:r>
      <w:r w:rsidRPr="00C939B8">
        <w:rPr>
          <w:color w:val="5F497A" w:themeColor="accent4" w:themeShade="BF"/>
          <w:sz w:val="28"/>
          <w:szCs w:val="28"/>
        </w:rPr>
        <w:t xml:space="preserve">areas of improvement. Please check off the boxes </w:t>
      </w:r>
      <w:r w:rsidR="00F730EB">
        <w:rPr>
          <w:color w:val="5F497A" w:themeColor="accent4" w:themeShade="BF"/>
          <w:sz w:val="28"/>
          <w:szCs w:val="28"/>
        </w:rPr>
        <w:t>of the</w:t>
      </w:r>
      <w:r w:rsidR="00EB0274" w:rsidRPr="00C939B8">
        <w:rPr>
          <w:color w:val="5F497A" w:themeColor="accent4" w:themeShade="BF"/>
          <w:sz w:val="28"/>
          <w:szCs w:val="28"/>
        </w:rPr>
        <w:t xml:space="preserve"> </w:t>
      </w:r>
      <w:r w:rsidR="00C939B8">
        <w:rPr>
          <w:color w:val="5F497A" w:themeColor="accent4" w:themeShade="BF"/>
          <w:sz w:val="28"/>
          <w:szCs w:val="28"/>
        </w:rPr>
        <w:t>sections that can be found in</w:t>
      </w:r>
      <w:r w:rsidR="00EB0274" w:rsidRPr="00C939B8">
        <w:rPr>
          <w:color w:val="5F497A" w:themeColor="accent4" w:themeShade="BF"/>
          <w:sz w:val="28"/>
          <w:szCs w:val="28"/>
        </w:rPr>
        <w:t xml:space="preserve"> your </w:t>
      </w:r>
      <w:r w:rsidR="00C939B8" w:rsidRPr="00C939B8">
        <w:rPr>
          <w:color w:val="5F497A" w:themeColor="accent4" w:themeShade="BF"/>
          <w:sz w:val="28"/>
          <w:szCs w:val="28"/>
        </w:rPr>
        <w:t>community’s</w:t>
      </w:r>
      <w:r w:rsidRPr="00C939B8">
        <w:rPr>
          <w:color w:val="5F497A" w:themeColor="accent4" w:themeShade="BF"/>
          <w:sz w:val="28"/>
          <w:szCs w:val="28"/>
        </w:rPr>
        <w:t xml:space="preserve"> C</w:t>
      </w:r>
      <w:r w:rsidR="00C939B8">
        <w:rPr>
          <w:color w:val="5F497A" w:themeColor="accent4" w:themeShade="BF"/>
          <w:sz w:val="28"/>
          <w:szCs w:val="28"/>
        </w:rPr>
        <w:t xml:space="preserve">ommunicable Disease Emergency </w:t>
      </w:r>
      <w:r w:rsidRPr="00C939B8">
        <w:rPr>
          <w:color w:val="5F497A" w:themeColor="accent4" w:themeShade="BF"/>
          <w:sz w:val="28"/>
          <w:szCs w:val="28"/>
        </w:rPr>
        <w:t>plan</w:t>
      </w:r>
      <w:r w:rsidR="00C939B8">
        <w:rPr>
          <w:color w:val="5F497A" w:themeColor="accent4" w:themeShade="BF"/>
          <w:sz w:val="28"/>
          <w:szCs w:val="28"/>
        </w:rPr>
        <w:t>.</w:t>
      </w:r>
    </w:p>
    <w:p w:rsidR="00EB0274" w:rsidRPr="00EB0274" w:rsidRDefault="00EB0274" w:rsidP="00B00699">
      <w:pPr>
        <w:spacing w:after="120"/>
        <w:rPr>
          <w:color w:val="5F497A" w:themeColor="accent4" w:themeShade="BF"/>
          <w:sz w:val="28"/>
          <w:szCs w:val="28"/>
        </w:rPr>
      </w:pPr>
      <w:r w:rsidRPr="00EB0274">
        <w:rPr>
          <w:iCs/>
          <w:color w:val="5F497A" w:themeColor="accent4" w:themeShade="BF"/>
          <w:sz w:val="28"/>
          <w:szCs w:val="28"/>
        </w:rPr>
        <w:t xml:space="preserve">Rate these sections on a scale of 1 to </w:t>
      </w:r>
      <w:r w:rsidR="00F730EB">
        <w:rPr>
          <w:iCs/>
          <w:color w:val="5F497A" w:themeColor="accent4" w:themeShade="BF"/>
          <w:sz w:val="28"/>
          <w:szCs w:val="28"/>
        </w:rPr>
        <w:t>4</w:t>
      </w:r>
      <w:r w:rsidRPr="00EB0274">
        <w:rPr>
          <w:iCs/>
          <w:color w:val="5F497A" w:themeColor="accent4" w:themeShade="BF"/>
          <w:sz w:val="28"/>
          <w:szCs w:val="28"/>
        </w:rPr>
        <w:t xml:space="preserve">. </w:t>
      </w:r>
    </w:p>
    <w:tbl>
      <w:tblPr>
        <w:tblStyle w:val="TableGrid"/>
        <w:tblW w:w="10939" w:type="dxa"/>
        <w:tblInd w:w="-1050" w:type="dxa"/>
        <w:tblBorders>
          <w:top w:val="single" w:sz="6" w:space="0" w:color="403152" w:themeColor="accent4" w:themeShade="80"/>
          <w:left w:val="single" w:sz="6" w:space="0" w:color="403152" w:themeColor="accent4" w:themeShade="80"/>
          <w:bottom w:val="single" w:sz="6" w:space="0" w:color="403152" w:themeColor="accent4" w:themeShade="80"/>
          <w:right w:val="single" w:sz="6" w:space="0" w:color="403152" w:themeColor="accent4" w:themeShade="80"/>
          <w:insideH w:val="single" w:sz="6" w:space="0" w:color="403152" w:themeColor="accent4" w:themeShade="80"/>
          <w:insideV w:val="single" w:sz="6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4560"/>
        <w:gridCol w:w="1843"/>
        <w:gridCol w:w="1843"/>
        <w:gridCol w:w="1276"/>
        <w:gridCol w:w="1417"/>
      </w:tblGrid>
      <w:tr w:rsidR="00F61C8E" w:rsidRPr="00EB0274" w:rsidTr="00F61C8E">
        <w:trPr>
          <w:trHeight w:val="1512"/>
        </w:trPr>
        <w:tc>
          <w:tcPr>
            <w:tcW w:w="4560" w:type="dxa"/>
            <w:shd w:val="clear" w:color="auto" w:fill="5F497A" w:themeFill="accent4" w:themeFillShade="BF"/>
          </w:tcPr>
          <w:p w:rsidR="00F61C8E" w:rsidRPr="00EB0274" w:rsidRDefault="00F61C8E" w:rsidP="00EB0274">
            <w:pPr>
              <w:spacing w:after="120"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CDE Plan Section</w:t>
            </w:r>
          </w:p>
        </w:tc>
        <w:tc>
          <w:tcPr>
            <w:tcW w:w="1843" w:type="dxa"/>
            <w:shd w:val="clear" w:color="auto" w:fill="5F497A" w:themeFill="accent4" w:themeFillShade="BF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It is included and up-to-date</w:t>
            </w:r>
          </w:p>
        </w:tc>
        <w:tc>
          <w:tcPr>
            <w:tcW w:w="1843" w:type="dxa"/>
            <w:shd w:val="clear" w:color="auto" w:fill="5F497A" w:themeFill="accent4" w:themeFillShade="BF"/>
          </w:tcPr>
          <w:p w:rsidR="00F61C8E" w:rsidRPr="00EB0274" w:rsidRDefault="00F61C8E" w:rsidP="00C939B8">
            <w:pPr>
              <w:spacing w:after="120"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It needs revision</w:t>
            </w:r>
          </w:p>
        </w:tc>
        <w:tc>
          <w:tcPr>
            <w:tcW w:w="1276" w:type="dxa"/>
            <w:shd w:val="clear" w:color="auto" w:fill="5F497A" w:themeFill="accent4" w:themeFillShade="BF"/>
          </w:tcPr>
          <w:p w:rsidR="00F61C8E" w:rsidRPr="00EB0274" w:rsidRDefault="00F61C8E" w:rsidP="00C939B8">
            <w:pPr>
              <w:spacing w:after="120"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It needs to be added</w:t>
            </w:r>
          </w:p>
        </w:tc>
        <w:tc>
          <w:tcPr>
            <w:tcW w:w="1417" w:type="dxa"/>
            <w:shd w:val="clear" w:color="auto" w:fill="5F497A" w:themeFill="accent4" w:themeFillShade="BF"/>
          </w:tcPr>
          <w:p w:rsidR="00F61C8E" w:rsidRDefault="002B21EF" w:rsidP="00F61C8E">
            <w:pPr>
              <w:spacing w:after="12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It does not apply</w:t>
            </w:r>
          </w:p>
        </w:tc>
      </w:tr>
      <w:tr w:rsidR="00F61C8E" w:rsidRPr="00EB0274" w:rsidTr="00F61C8E">
        <w:trPr>
          <w:trHeight w:val="825"/>
        </w:trPr>
        <w:tc>
          <w:tcPr>
            <w:tcW w:w="4560" w:type="dxa"/>
          </w:tcPr>
          <w:p w:rsidR="00F61C8E" w:rsidRPr="00EB0274" w:rsidRDefault="00F730EB" w:rsidP="00F730EB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A plan to review, maintain</w:t>
            </w:r>
            <w:r w:rsidR="00F61C8E">
              <w:rPr>
                <w:color w:val="5F497A" w:themeColor="accent4" w:themeShade="BF"/>
                <w:sz w:val="28"/>
                <w:szCs w:val="28"/>
              </w:rPr>
              <w:t>, and distribute the CDE plan.</w:t>
            </w:r>
          </w:p>
        </w:tc>
        <w:tc>
          <w:tcPr>
            <w:tcW w:w="1843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61C8E" w:rsidRPr="00EB0274" w:rsidRDefault="00F61C8E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F61C8E" w:rsidRPr="00EB0274" w:rsidTr="00F61C8E">
        <w:trPr>
          <w:trHeight w:val="766"/>
        </w:trPr>
        <w:tc>
          <w:tcPr>
            <w:tcW w:w="4560" w:type="dxa"/>
            <w:vAlign w:val="center"/>
          </w:tcPr>
          <w:p w:rsidR="00F61C8E" w:rsidRPr="00EB0274" w:rsidRDefault="00F730EB" w:rsidP="00F730EB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A p</w:t>
            </w:r>
            <w:r w:rsidR="00F61C8E">
              <w:rPr>
                <w:color w:val="5F497A" w:themeColor="accent4" w:themeShade="BF"/>
                <w:sz w:val="28"/>
                <w:szCs w:val="28"/>
              </w:rPr>
              <w:t xml:space="preserve">lan to provide training and exercises </w:t>
            </w:r>
            <w:r>
              <w:rPr>
                <w:color w:val="5F497A" w:themeColor="accent4" w:themeShade="BF"/>
                <w:sz w:val="28"/>
                <w:szCs w:val="28"/>
              </w:rPr>
              <w:t>to</w:t>
            </w:r>
            <w:r w:rsidR="00F61C8E">
              <w:rPr>
                <w:color w:val="5F497A" w:themeColor="accent4" w:themeShade="BF"/>
                <w:sz w:val="28"/>
                <w:szCs w:val="28"/>
              </w:rPr>
              <w:t xml:space="preserve"> individuals who have a role during a CDE.</w:t>
            </w:r>
          </w:p>
        </w:tc>
        <w:tc>
          <w:tcPr>
            <w:tcW w:w="1843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61C8E" w:rsidRPr="00EB0274" w:rsidRDefault="00F61C8E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F61C8E" w:rsidRPr="00EB0274" w:rsidTr="00F61C8E">
        <w:trPr>
          <w:trHeight w:val="777"/>
        </w:trPr>
        <w:tc>
          <w:tcPr>
            <w:tcW w:w="4560" w:type="dxa"/>
            <w:vAlign w:val="center"/>
          </w:tcPr>
          <w:p w:rsidR="00F61C8E" w:rsidRPr="00EB0274" w:rsidRDefault="00F730EB" w:rsidP="00F730EB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R</w:t>
            </w:r>
            <w:r w:rsidR="00F61C8E">
              <w:rPr>
                <w:color w:val="5F497A" w:themeColor="accent4" w:themeShade="BF"/>
                <w:sz w:val="28"/>
                <w:szCs w:val="28"/>
              </w:rPr>
              <w:t xml:space="preserve">oles and responsibilities of different levels of government during a CDE are clearly </w:t>
            </w:r>
            <w:r w:rsidR="0081481C">
              <w:rPr>
                <w:color w:val="5F497A" w:themeColor="accent4" w:themeShade="BF"/>
                <w:sz w:val="28"/>
                <w:szCs w:val="28"/>
              </w:rPr>
              <w:t xml:space="preserve">identified and confirmed </w:t>
            </w:r>
            <w:r w:rsidR="00F61C8E">
              <w:rPr>
                <w:color w:val="5F497A" w:themeColor="accent4" w:themeShade="BF"/>
                <w:sz w:val="28"/>
                <w:szCs w:val="28"/>
              </w:rPr>
              <w:t>(Community, Provincial, and Federal).</w:t>
            </w:r>
          </w:p>
        </w:tc>
        <w:tc>
          <w:tcPr>
            <w:tcW w:w="1843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61C8E" w:rsidRPr="00EB0274" w:rsidRDefault="00F61C8E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F61C8E" w:rsidRPr="00EB0274" w:rsidTr="00F61C8E">
        <w:tc>
          <w:tcPr>
            <w:tcW w:w="4560" w:type="dxa"/>
            <w:vAlign w:val="center"/>
          </w:tcPr>
          <w:p w:rsidR="00F61C8E" w:rsidRPr="00EB0274" w:rsidRDefault="00F61C8E" w:rsidP="00EB0274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Mutual aid agreements with nearby communities.</w:t>
            </w:r>
          </w:p>
        </w:tc>
        <w:tc>
          <w:tcPr>
            <w:tcW w:w="1843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61C8E" w:rsidRPr="00EB0274" w:rsidRDefault="00F61C8E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F61C8E" w:rsidRPr="00EB0274" w:rsidTr="00F61C8E">
        <w:tc>
          <w:tcPr>
            <w:tcW w:w="4560" w:type="dxa"/>
            <w:vAlign w:val="center"/>
          </w:tcPr>
          <w:p w:rsidR="00F61C8E" w:rsidRPr="00EB0274" w:rsidRDefault="00B00699" w:rsidP="00B00699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When the CDE plan will be activated and deactivated.</w:t>
            </w:r>
          </w:p>
        </w:tc>
        <w:tc>
          <w:tcPr>
            <w:tcW w:w="1843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61C8E" w:rsidRPr="00EB0274" w:rsidRDefault="00F61C8E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F61C8E" w:rsidRPr="00EB0274" w:rsidTr="00F61C8E">
        <w:tc>
          <w:tcPr>
            <w:tcW w:w="4560" w:type="dxa"/>
            <w:vAlign w:val="center"/>
          </w:tcPr>
          <w:p w:rsidR="00F61C8E" w:rsidRPr="002A26D9" w:rsidRDefault="00F730EB" w:rsidP="00F730EB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A p</w:t>
            </w:r>
            <w:r w:rsidR="00F61C8E">
              <w:rPr>
                <w:color w:val="5F497A" w:themeColor="accent4" w:themeShade="BF"/>
                <w:sz w:val="28"/>
                <w:szCs w:val="28"/>
              </w:rPr>
              <w:t>lan on how to communicate information and advice to community members about the CDE.</w:t>
            </w:r>
          </w:p>
        </w:tc>
        <w:tc>
          <w:tcPr>
            <w:tcW w:w="1843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61C8E" w:rsidRPr="00EB0274" w:rsidRDefault="00F61C8E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61C8E" w:rsidRPr="00EB0274" w:rsidRDefault="00F61C8E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2B21EF" w:rsidTr="005E35F6">
        <w:trPr>
          <w:trHeight w:val="1512"/>
        </w:trPr>
        <w:tc>
          <w:tcPr>
            <w:tcW w:w="4560" w:type="dxa"/>
            <w:shd w:val="clear" w:color="auto" w:fill="5F497A" w:themeFill="accent4" w:themeFillShade="BF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CDE Plan Section</w:t>
            </w:r>
          </w:p>
        </w:tc>
        <w:tc>
          <w:tcPr>
            <w:tcW w:w="1843" w:type="dxa"/>
            <w:shd w:val="clear" w:color="auto" w:fill="5F497A" w:themeFill="accent4" w:themeFillShade="BF"/>
          </w:tcPr>
          <w:p w:rsidR="002B21EF" w:rsidRPr="00EB0274" w:rsidRDefault="002B21EF" w:rsidP="002B21EF">
            <w:pPr>
              <w:spacing w:after="120"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It is included and up-to-date</w:t>
            </w:r>
          </w:p>
        </w:tc>
        <w:tc>
          <w:tcPr>
            <w:tcW w:w="1843" w:type="dxa"/>
            <w:shd w:val="clear" w:color="auto" w:fill="5F497A" w:themeFill="accent4" w:themeFillShade="BF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It needs revision</w:t>
            </w:r>
          </w:p>
        </w:tc>
        <w:tc>
          <w:tcPr>
            <w:tcW w:w="1276" w:type="dxa"/>
            <w:shd w:val="clear" w:color="auto" w:fill="5F497A" w:themeFill="accent4" w:themeFillShade="BF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It needs to be added</w:t>
            </w:r>
          </w:p>
        </w:tc>
        <w:tc>
          <w:tcPr>
            <w:tcW w:w="1417" w:type="dxa"/>
            <w:shd w:val="clear" w:color="auto" w:fill="5F497A" w:themeFill="accent4" w:themeFillShade="BF"/>
          </w:tcPr>
          <w:p w:rsidR="002B21EF" w:rsidRDefault="002B21EF" w:rsidP="005E35F6">
            <w:pPr>
              <w:spacing w:after="12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It does not apply</w:t>
            </w:r>
          </w:p>
        </w:tc>
      </w:tr>
      <w:tr w:rsidR="002B21EF" w:rsidRPr="00EB0274" w:rsidTr="00F61C8E">
        <w:tc>
          <w:tcPr>
            <w:tcW w:w="4560" w:type="dxa"/>
            <w:vAlign w:val="center"/>
          </w:tcPr>
          <w:p w:rsidR="002B21EF" w:rsidRPr="00EB0274" w:rsidRDefault="002B21EF" w:rsidP="005E35F6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A surveillance plan.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B21EF" w:rsidRPr="00EB0274" w:rsidRDefault="002B21EF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2B21EF" w:rsidRPr="00EB0274" w:rsidTr="00F61C8E">
        <w:tc>
          <w:tcPr>
            <w:tcW w:w="4560" w:type="dxa"/>
            <w:vAlign w:val="center"/>
          </w:tcPr>
          <w:p w:rsidR="002B21EF" w:rsidRPr="00EB0274" w:rsidRDefault="00F730EB" w:rsidP="00F730EB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 xml:space="preserve">A list of </w:t>
            </w:r>
            <w:r w:rsidR="002B21EF">
              <w:rPr>
                <w:color w:val="5F497A" w:themeColor="accent4" w:themeShade="BF"/>
                <w:sz w:val="28"/>
                <w:szCs w:val="28"/>
              </w:rPr>
              <w:t>Public Health Measures to</w:t>
            </w:r>
            <w:r w:rsidR="00B00699">
              <w:rPr>
                <w:color w:val="5F497A" w:themeColor="accent4" w:themeShade="BF"/>
                <w:sz w:val="28"/>
                <w:szCs w:val="28"/>
              </w:rPr>
              <w:t xml:space="preserve"> consider</w:t>
            </w:r>
            <w:r w:rsidR="002B21EF">
              <w:rPr>
                <w:color w:val="5F497A" w:themeColor="accent4" w:themeShade="BF"/>
                <w:sz w:val="28"/>
                <w:szCs w:val="28"/>
              </w:rPr>
              <w:t xml:space="preserve"> implement</w:t>
            </w:r>
            <w:r w:rsidR="00B00699">
              <w:rPr>
                <w:color w:val="5F497A" w:themeColor="accent4" w:themeShade="BF"/>
                <w:sz w:val="28"/>
                <w:szCs w:val="28"/>
              </w:rPr>
              <w:t>ing</w:t>
            </w:r>
            <w:r w:rsidR="002B21EF">
              <w:rPr>
                <w:color w:val="5F497A" w:themeColor="accent4" w:themeShade="BF"/>
                <w:sz w:val="28"/>
                <w:szCs w:val="28"/>
              </w:rPr>
              <w:t xml:space="preserve"> during a CDE</w:t>
            </w:r>
            <w:r>
              <w:rPr>
                <w:color w:val="5F497A" w:themeColor="accent4" w:themeShade="BF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B21EF" w:rsidRPr="00EB0274" w:rsidRDefault="002B21EF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91257F" w:rsidRPr="00EB0274" w:rsidTr="00F61C8E">
        <w:tc>
          <w:tcPr>
            <w:tcW w:w="4560" w:type="dxa"/>
            <w:vAlign w:val="center"/>
          </w:tcPr>
          <w:p w:rsidR="0091257F" w:rsidRDefault="0091257F" w:rsidP="0091257F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A list of community essential services during a pandemic</w:t>
            </w:r>
          </w:p>
        </w:tc>
        <w:tc>
          <w:tcPr>
            <w:tcW w:w="1843" w:type="dxa"/>
          </w:tcPr>
          <w:p w:rsidR="0091257F" w:rsidRPr="00EB0274" w:rsidRDefault="0091257F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1257F" w:rsidRPr="00EB0274" w:rsidRDefault="0091257F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1257F" w:rsidRPr="00EB0274" w:rsidRDefault="0091257F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1257F" w:rsidRDefault="0091257F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2B21EF" w:rsidRPr="00EB0274" w:rsidTr="00F61C8E">
        <w:trPr>
          <w:trHeight w:val="759"/>
        </w:trPr>
        <w:tc>
          <w:tcPr>
            <w:tcW w:w="4560" w:type="dxa"/>
            <w:vAlign w:val="center"/>
          </w:tcPr>
          <w:p w:rsidR="002B21EF" w:rsidRPr="00F61C8E" w:rsidRDefault="002B21EF" w:rsidP="00B00699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Infection Prevention and Control measures are in place.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B21EF" w:rsidRPr="00EB0274" w:rsidRDefault="002B21EF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2B21EF" w:rsidRPr="00EB0274" w:rsidTr="00F61C8E">
        <w:trPr>
          <w:trHeight w:val="759"/>
        </w:trPr>
        <w:tc>
          <w:tcPr>
            <w:tcW w:w="4560" w:type="dxa"/>
            <w:vAlign w:val="center"/>
          </w:tcPr>
          <w:p w:rsidR="002B21EF" w:rsidRDefault="002B21EF" w:rsidP="00F61C8E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Laboratory Services are identified.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B21EF" w:rsidRPr="00EB0274" w:rsidRDefault="002B21EF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2B21EF" w:rsidRPr="00EB0274" w:rsidTr="00F61C8E">
        <w:trPr>
          <w:trHeight w:val="759"/>
        </w:trPr>
        <w:tc>
          <w:tcPr>
            <w:tcW w:w="4560" w:type="dxa"/>
            <w:vAlign w:val="center"/>
          </w:tcPr>
          <w:p w:rsidR="002B21EF" w:rsidRDefault="002B21EF" w:rsidP="002B21EF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An antiviral medication plan.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B21EF" w:rsidRPr="00EB0274" w:rsidRDefault="002B21EF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2B21EF" w:rsidRPr="00EB0274" w:rsidTr="00F61C8E">
        <w:trPr>
          <w:trHeight w:val="759"/>
        </w:trPr>
        <w:tc>
          <w:tcPr>
            <w:tcW w:w="4560" w:type="dxa"/>
            <w:vAlign w:val="center"/>
          </w:tcPr>
          <w:p w:rsidR="002B21EF" w:rsidRDefault="002B21EF" w:rsidP="00F61C8E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A vaccination plan.</w:t>
            </w:r>
          </w:p>
        </w:tc>
        <w:tc>
          <w:tcPr>
            <w:tcW w:w="1843" w:type="dxa"/>
          </w:tcPr>
          <w:p w:rsidR="002B21EF" w:rsidRPr="00EB0274" w:rsidRDefault="00B00699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B21EF" w:rsidRPr="00EB0274" w:rsidRDefault="00B00699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B21EF" w:rsidRPr="00EB0274" w:rsidRDefault="00B00699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B21EF" w:rsidRDefault="00B00699" w:rsidP="00B00699">
            <w:p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2B21EF" w:rsidRPr="00EB0274" w:rsidTr="00F61C8E">
        <w:trPr>
          <w:trHeight w:val="759"/>
        </w:trPr>
        <w:tc>
          <w:tcPr>
            <w:tcW w:w="4560" w:type="dxa"/>
            <w:vAlign w:val="center"/>
          </w:tcPr>
          <w:p w:rsidR="002B21EF" w:rsidRDefault="002B21EF" w:rsidP="002B21EF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A continuity of health operations plan.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B21EF" w:rsidRPr="00EB0274" w:rsidRDefault="002B21EF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2B21EF" w:rsidRPr="00EB0274" w:rsidTr="00F61C8E">
        <w:trPr>
          <w:trHeight w:val="759"/>
        </w:trPr>
        <w:tc>
          <w:tcPr>
            <w:tcW w:w="4560" w:type="dxa"/>
            <w:vAlign w:val="center"/>
          </w:tcPr>
          <w:p w:rsidR="002B21EF" w:rsidRDefault="002B21EF" w:rsidP="00F61C8E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Ethical considerations guidelines.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B21EF" w:rsidRPr="00EB0274" w:rsidRDefault="002B21EF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2B21EF" w:rsidRPr="00EB0274" w:rsidTr="00F61C8E">
        <w:trPr>
          <w:trHeight w:val="759"/>
        </w:trPr>
        <w:tc>
          <w:tcPr>
            <w:tcW w:w="4560" w:type="dxa"/>
            <w:vAlign w:val="center"/>
          </w:tcPr>
          <w:p w:rsidR="002B21EF" w:rsidRDefault="002B21EF" w:rsidP="00F61C8E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A guide to debrief after the CDE.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B21EF" w:rsidRPr="00EB0274" w:rsidRDefault="002B21EF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2B21EF" w:rsidRPr="00EB0274" w:rsidTr="00F61C8E">
        <w:trPr>
          <w:trHeight w:val="759"/>
        </w:trPr>
        <w:tc>
          <w:tcPr>
            <w:tcW w:w="4560" w:type="dxa"/>
            <w:vAlign w:val="center"/>
          </w:tcPr>
          <w:p w:rsidR="002B21EF" w:rsidRDefault="002B21EF" w:rsidP="00F61C8E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A community recovery plan.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B21EF" w:rsidRPr="00EB0274" w:rsidRDefault="002B21EF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2B21EF" w:rsidRPr="00EB0274" w:rsidTr="00F61C8E">
        <w:trPr>
          <w:trHeight w:val="759"/>
        </w:trPr>
        <w:tc>
          <w:tcPr>
            <w:tcW w:w="4560" w:type="dxa"/>
            <w:vAlign w:val="center"/>
          </w:tcPr>
          <w:p w:rsidR="002B21EF" w:rsidRDefault="002B21EF" w:rsidP="00F61C8E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List and contact information of volunteers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B21EF" w:rsidRPr="00EB0274" w:rsidRDefault="002B21EF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2B21EF" w:rsidRPr="00EB0274" w:rsidTr="00F61C8E">
        <w:trPr>
          <w:trHeight w:val="759"/>
        </w:trPr>
        <w:tc>
          <w:tcPr>
            <w:tcW w:w="4560" w:type="dxa"/>
            <w:vAlign w:val="center"/>
          </w:tcPr>
          <w:p w:rsidR="002B21EF" w:rsidRDefault="002B21EF" w:rsidP="00F61C8E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List and contact information of internal and external departments and community partners.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B21EF" w:rsidRPr="00EB0274" w:rsidRDefault="002B21EF" w:rsidP="005E35F6">
            <w:pPr>
              <w:spacing w:after="120" w:line="276" w:lineRule="auto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B0274">
              <w:rPr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B21EF" w:rsidRPr="00EB0274" w:rsidRDefault="002B21EF" w:rsidP="005E35F6">
            <w:pPr>
              <w:spacing w:after="120"/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4</w:t>
            </w:r>
          </w:p>
        </w:tc>
      </w:tr>
    </w:tbl>
    <w:p w:rsidR="00EB0274" w:rsidRPr="00EB0274" w:rsidRDefault="00EB0274"/>
    <w:p w:rsidR="001D4D2D" w:rsidRPr="00EB0274" w:rsidRDefault="00717B45" w:rsidP="00124EA8">
      <w:pPr>
        <w:jc w:val="right"/>
      </w:pPr>
      <w:r>
        <w:t>November</w:t>
      </w:r>
      <w:bookmarkStart w:id="0" w:name="_GoBack"/>
      <w:bookmarkEnd w:id="0"/>
      <w:r w:rsidR="00124EA8">
        <w:t xml:space="preserve"> 2020</w:t>
      </w:r>
    </w:p>
    <w:sectPr w:rsidR="001D4D2D" w:rsidRPr="00EB0274" w:rsidSect="00F61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3E" w:rsidRDefault="00A4793E" w:rsidP="00124EA8">
      <w:pPr>
        <w:spacing w:after="0" w:line="240" w:lineRule="auto"/>
      </w:pPr>
      <w:r>
        <w:separator/>
      </w:r>
    </w:p>
  </w:endnote>
  <w:endnote w:type="continuationSeparator" w:id="0">
    <w:p w:rsidR="00A4793E" w:rsidRDefault="00A4793E" w:rsidP="0012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A8" w:rsidRDefault="00124E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A8" w:rsidRDefault="00124E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A8" w:rsidRDefault="00124E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3E" w:rsidRDefault="00A4793E" w:rsidP="00124EA8">
      <w:pPr>
        <w:spacing w:after="0" w:line="240" w:lineRule="auto"/>
      </w:pPr>
      <w:r>
        <w:separator/>
      </w:r>
    </w:p>
  </w:footnote>
  <w:footnote w:type="continuationSeparator" w:id="0">
    <w:p w:rsidR="00A4793E" w:rsidRDefault="00A4793E" w:rsidP="00124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A8" w:rsidRDefault="00124E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A8" w:rsidRDefault="00124E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A8" w:rsidRDefault="00124E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617"/>
    <w:multiLevelType w:val="hybridMultilevel"/>
    <w:tmpl w:val="C8469FBA"/>
    <w:lvl w:ilvl="0" w:tplc="6430F6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2D"/>
    <w:rsid w:val="0007012B"/>
    <w:rsid w:val="000B0025"/>
    <w:rsid w:val="000B5825"/>
    <w:rsid w:val="00124EA8"/>
    <w:rsid w:val="001D4D2D"/>
    <w:rsid w:val="002A26D9"/>
    <w:rsid w:val="002B21EF"/>
    <w:rsid w:val="00440932"/>
    <w:rsid w:val="0067558F"/>
    <w:rsid w:val="007108C6"/>
    <w:rsid w:val="00717B45"/>
    <w:rsid w:val="0081481C"/>
    <w:rsid w:val="0091257F"/>
    <w:rsid w:val="00A4793E"/>
    <w:rsid w:val="00B00699"/>
    <w:rsid w:val="00C939B8"/>
    <w:rsid w:val="00E0512A"/>
    <w:rsid w:val="00EB0274"/>
    <w:rsid w:val="00EB6898"/>
    <w:rsid w:val="00F05AA1"/>
    <w:rsid w:val="00F61C8E"/>
    <w:rsid w:val="00F730EB"/>
    <w:rsid w:val="00F93969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B027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A8"/>
  </w:style>
  <w:style w:type="paragraph" w:styleId="Footer">
    <w:name w:val="footer"/>
    <w:basedOn w:val="Normal"/>
    <w:link w:val="FooterChar"/>
    <w:uiPriority w:val="99"/>
    <w:unhideWhenUsed/>
    <w:rsid w:val="00124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A8"/>
  </w:style>
  <w:style w:type="character" w:styleId="CommentReference">
    <w:name w:val="annotation reference"/>
    <w:basedOn w:val="DefaultParagraphFont"/>
    <w:uiPriority w:val="99"/>
    <w:semiHidden/>
    <w:unhideWhenUsed/>
    <w:rsid w:val="00F93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9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9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9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B027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A8"/>
  </w:style>
  <w:style w:type="paragraph" w:styleId="Footer">
    <w:name w:val="footer"/>
    <w:basedOn w:val="Normal"/>
    <w:link w:val="FooterChar"/>
    <w:uiPriority w:val="99"/>
    <w:unhideWhenUsed/>
    <w:rsid w:val="00124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A8"/>
  </w:style>
  <w:style w:type="character" w:styleId="CommentReference">
    <w:name w:val="annotation reference"/>
    <w:basedOn w:val="DefaultParagraphFont"/>
    <w:uiPriority w:val="99"/>
    <w:semiHidden/>
    <w:unhideWhenUsed/>
    <w:rsid w:val="00F93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9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9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9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Monnin</dc:creator>
  <cp:lastModifiedBy>Michelle Mutton</cp:lastModifiedBy>
  <cp:revision>2</cp:revision>
  <dcterms:created xsi:type="dcterms:W3CDTF">2020-12-05T14:44:00Z</dcterms:created>
  <dcterms:modified xsi:type="dcterms:W3CDTF">2020-12-05T14:44:00Z</dcterms:modified>
</cp:coreProperties>
</file>